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001-38276</w:t>
        </w:r>
      </w:hyperlink>
    </w:p>
    <w:p>
      <w:pPr>
        <w:spacing w:after="0" w:line="136" w:lineRule="exact"/>
        <w:rPr>
          <w:sz w:val="24"/>
          <w:szCs w:val="24"/>
          <w:color w:val="auto"/>
        </w:rPr>
      </w:pPr>
    </w:p>
    <w:p>
      <w:pPr>
        <w:ind w:left="3300"/>
        <w:spacing w:after="0"/>
        <w:tabs>
          <w:tab w:leader="none" w:pos="416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Apellis Pharmaceuticals, Inc.</w:t>
        </w:r>
      </w:hyperlink>
    </w:p>
    <w:p>
      <w:pPr>
        <w:spacing w:after="0" w:line="57"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40"/>
        <w:spacing w:after="0"/>
        <w:tabs>
          <w:tab w:leader="none" w:pos="40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6400 Westwind Way</w:t>
      </w:r>
    </w:p>
    <w:p>
      <w:pPr>
        <w:spacing w:after="0" w:line="62"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0000FF"/>
        </w:rPr>
        <w:t>Suite A</w:t>
      </w:r>
    </w:p>
    <w:p>
      <w:pPr>
        <w:spacing w:after="0" w:line="6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0000FF"/>
        </w:rPr>
        <w:t>Crestwood KENTUCKY 40014</w:t>
      </w:r>
    </w:p>
    <w:p>
      <w:pPr>
        <w:spacing w:after="0" w:line="63" w:lineRule="exact"/>
        <w:rPr>
          <w:sz w:val="24"/>
          <w:szCs w:val="24"/>
          <w:color w:val="auto"/>
        </w:rPr>
      </w:pPr>
    </w:p>
    <w:p>
      <w:pPr>
        <w:ind w:left="2540"/>
        <w:spacing w:after="0"/>
        <w:tabs>
          <w:tab w:leader="none" w:pos="646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502-241-4114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2026-05-14</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0000FF"/>
              </w:rPr>
              <w:t>Katelin Rowe</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0000FF"/>
              </w:rPr>
              <w:t>CDO Analyst</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apls-form25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8276" TargetMode="External"/><Relationship Id="rId11"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2026-05-14T08:53:57Z</dcterms:created>
  <dcterms:modified xsi:type="dcterms:W3CDTF">2026-05-14T08:53:57Z</dcterms:modified>
</cp:coreProperties>
</file>